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D" w:rsidRPr="00EC536D" w:rsidRDefault="008162ED" w:rsidP="008162ED">
      <w:pPr>
        <w:pStyle w:val="aa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C536D">
        <w:rPr>
          <w:rFonts w:ascii="Times New Roman" w:hAnsi="Times New Roman"/>
          <w:b/>
          <w:sz w:val="28"/>
          <w:szCs w:val="28"/>
          <w:lang w:val="en-US"/>
        </w:rPr>
        <w:t>Task 1.</w:t>
      </w:r>
      <w:proofErr w:type="gramEnd"/>
      <w:r w:rsidRPr="00EC536D">
        <w:rPr>
          <w:rFonts w:ascii="Times New Roman" w:hAnsi="Times New Roman"/>
          <w:sz w:val="28"/>
          <w:szCs w:val="28"/>
          <w:lang w:val="en-US"/>
        </w:rPr>
        <w:t xml:space="preserve"> Solve the tests. Please note that the number of correct answers may be more than one. Mark the correct answer using</w:t>
      </w:r>
      <w:r w:rsidRPr="00EC536D">
        <w:rPr>
          <w:rFonts w:ascii="Times New Roman" w:hAnsi="Times New Roman"/>
          <w:b/>
          <w:sz w:val="28"/>
          <w:szCs w:val="28"/>
          <w:lang w:val="en-US"/>
        </w:rPr>
        <w:t xml:space="preserve"> bold text selection.</w:t>
      </w:r>
    </w:p>
    <w:p w:rsidR="008162ED" w:rsidRPr="00EC536D" w:rsidRDefault="008162ED" w:rsidP="008162ED">
      <w:pPr>
        <w:pStyle w:val="aa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547D10" w:rsidRPr="00236E3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 </w:t>
      </w:r>
      <w:r w:rsidR="008162E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Functions of protein are: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Energy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Contractile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Nutrition 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Storage 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Transport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Protection</w:t>
      </w:r>
    </w:p>
    <w:p w:rsidR="00547D10" w:rsidRPr="00236E3D" w:rsidRDefault="008162ED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Enzyme</w:t>
      </w:r>
    </w:p>
    <w:p w:rsidR="00547D10" w:rsidRPr="00236E3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511EE" w:rsidRPr="00236E3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2. </w:t>
      </w:r>
      <w:r w:rsidR="008162E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Nitrogen balance may be:</w:t>
      </w:r>
    </w:p>
    <w:p w:rsidR="003511EE" w:rsidRPr="00236E3D" w:rsidRDefault="008162ED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Physiological</w:t>
      </w:r>
    </w:p>
    <w:p w:rsidR="003511EE" w:rsidRPr="00236E3D" w:rsidRDefault="008162ED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Positive</w:t>
      </w:r>
    </w:p>
    <w:p w:rsidR="003511EE" w:rsidRPr="00236E3D" w:rsidRDefault="008162ED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Negative</w:t>
      </w:r>
    </w:p>
    <w:p w:rsidR="003511EE" w:rsidRPr="00236E3D" w:rsidRDefault="008162ED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Pathological </w:t>
      </w:r>
    </w:p>
    <w:p w:rsidR="003511EE" w:rsidRPr="00236E3D" w:rsidRDefault="008162ED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Synthetic</w:t>
      </w:r>
    </w:p>
    <w:p w:rsidR="003511EE" w:rsidRPr="00236E3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47D10" w:rsidRPr="00236E3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="00547D10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8162E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final products of the </w:t>
      </w:r>
      <w:proofErr w:type="spellStart"/>
      <w:r w:rsidR="008162E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dеsintegration</w:t>
      </w:r>
      <w:proofErr w:type="spellEnd"/>
      <w:r w:rsidR="008162E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amino acids are: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Urea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Glucose 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Cholesterol 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Ammonia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Glycerol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Glycogen</w:t>
      </w:r>
    </w:p>
    <w:p w:rsidR="00547D10" w:rsidRPr="00236E3D" w:rsidRDefault="008162ED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236E3D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H</w:t>
      </w:r>
      <w:r w:rsidRPr="00236E3D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547D10" w:rsidRPr="00236E3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B37E1" w:rsidRPr="00236E3D" w:rsidRDefault="003511EE" w:rsidP="00BB3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4. </w:t>
      </w:r>
      <w:r w:rsidR="00BB37E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The increase in the blood of uric acid is</w:t>
      </w:r>
    </w:p>
    <w:p w:rsidR="003511EE" w:rsidRPr="00236E3D" w:rsidRDefault="00BB37E1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Hyperketonemia</w:t>
      </w:r>
      <w:proofErr w:type="spellEnd"/>
    </w:p>
    <w:p w:rsidR="003511EE" w:rsidRPr="00236E3D" w:rsidRDefault="00BB37E1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Hyperuricemia</w:t>
      </w:r>
      <w:proofErr w:type="spellEnd"/>
    </w:p>
    <w:p w:rsidR="003511EE" w:rsidRPr="00236E3D" w:rsidRDefault="00BB37E1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Hyperproteinemia</w:t>
      </w:r>
      <w:proofErr w:type="spellEnd"/>
    </w:p>
    <w:p w:rsidR="003511EE" w:rsidRPr="00236E3D" w:rsidRDefault="00BB37E1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Hyperlipidemia</w:t>
      </w:r>
    </w:p>
    <w:p w:rsidR="00BB37E1" w:rsidRPr="00236E3D" w:rsidRDefault="00BB37E1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Hyperlactatemia</w:t>
      </w:r>
      <w:proofErr w:type="spellEnd"/>
    </w:p>
    <w:p w:rsidR="003511EE" w:rsidRPr="00236E3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47D10" w:rsidRPr="00236E3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="00547D10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BB37E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causes of negative nitrogen balance are: 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Pregnancy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Starvation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Growth of body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Infectious diseases 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Proteinuria</w:t>
      </w:r>
    </w:p>
    <w:p w:rsidR="00547D10" w:rsidRPr="00236E3D" w:rsidRDefault="00BB37E1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Burns</w:t>
      </w:r>
    </w:p>
    <w:p w:rsidR="00196C2E" w:rsidRPr="00236E3D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C2E" w:rsidRPr="00236E3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="00196C2E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BB37E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Disorders of plasma protein composition include</w:t>
      </w:r>
      <w:r w:rsidR="00196C2E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196C2E" w:rsidRPr="00236E3D" w:rsidRDefault="00BB37E1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Hyperproteinemia</w:t>
      </w:r>
      <w:proofErr w:type="spellEnd"/>
    </w:p>
    <w:p w:rsidR="00196C2E" w:rsidRPr="00236E3D" w:rsidRDefault="00BB37E1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Hypercholesterolemia</w:t>
      </w:r>
    </w:p>
    <w:p w:rsidR="00196C2E" w:rsidRPr="00236E3D" w:rsidRDefault="00BB37E1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Hyperglycemia</w:t>
      </w:r>
    </w:p>
    <w:p w:rsidR="00196C2E" w:rsidRPr="00236E3D" w:rsidRDefault="00BB37E1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Hypoproteinemia</w:t>
      </w:r>
      <w:proofErr w:type="spellEnd"/>
    </w:p>
    <w:p w:rsidR="00196C2E" w:rsidRPr="00236E3D" w:rsidRDefault="00BB37E1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Hypoglycemia</w:t>
      </w:r>
    </w:p>
    <w:p w:rsidR="00BB37E1" w:rsidRPr="00236E3D" w:rsidRDefault="00BB37E1" w:rsidP="00BB37E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Dysproteinemia</w:t>
      </w:r>
      <w:proofErr w:type="spellEnd"/>
    </w:p>
    <w:p w:rsidR="00BB37E1" w:rsidRPr="00236E3D" w:rsidRDefault="00BB37E1" w:rsidP="00BB37E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Paraproteinemia</w:t>
      </w:r>
      <w:proofErr w:type="spellEnd"/>
    </w:p>
    <w:p w:rsidR="00196C2E" w:rsidRPr="00236E3D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C2E" w:rsidRPr="00236E3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7. </w:t>
      </w:r>
      <w:r w:rsidR="00BB37E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The place of urea synthesis in the body is</w:t>
      </w: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196C2E" w:rsidRPr="00236E3D" w:rsidRDefault="00BB37E1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Blood</w:t>
      </w:r>
    </w:p>
    <w:p w:rsidR="00196C2E" w:rsidRPr="00236E3D" w:rsidRDefault="00BB37E1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Lung</w:t>
      </w:r>
    </w:p>
    <w:p w:rsidR="00196C2E" w:rsidRPr="00236E3D" w:rsidRDefault="0072209F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Li</w:t>
      </w:r>
      <w:r w:rsidR="00BB37E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ver</w:t>
      </w:r>
    </w:p>
    <w:p w:rsidR="00196C2E" w:rsidRPr="00236E3D" w:rsidRDefault="002953F9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Kidney</w:t>
      </w:r>
    </w:p>
    <w:p w:rsidR="00196C2E" w:rsidRPr="00236E3D" w:rsidRDefault="002953F9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Adrenal glands</w:t>
      </w:r>
    </w:p>
    <w:p w:rsidR="00196C2E" w:rsidRPr="00236E3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C2E" w:rsidRPr="004E680A" w:rsidRDefault="00196C2E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8. </w:t>
      </w:r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Metabolic disorder, which develops due to metabolic disturbances of </w:t>
      </w:r>
      <w:r w:rsidR="004E680A" w:rsidRPr="004E680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purine </w:t>
      </w:r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bases, is</w:t>
      </w:r>
      <w:r w:rsidR="004E680A" w:rsidRPr="004E680A">
        <w:rPr>
          <w:lang w:val="en-US"/>
        </w:rPr>
        <w:t xml:space="preserve"> </w:t>
      </w:r>
    </w:p>
    <w:p w:rsidR="00196C2E" w:rsidRPr="00236E3D" w:rsidRDefault="00236E3D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Phenylketonuria</w:t>
      </w:r>
    </w:p>
    <w:p w:rsidR="00196C2E" w:rsidRPr="00236E3D" w:rsidRDefault="0072209F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Gout</w:t>
      </w:r>
    </w:p>
    <w:p w:rsidR="002953F9" w:rsidRPr="00236E3D" w:rsidRDefault="002953F9" w:rsidP="002953F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Multiple Myeloma</w:t>
      </w:r>
    </w:p>
    <w:p w:rsidR="002953F9" w:rsidRPr="00236E3D" w:rsidRDefault="002953F9" w:rsidP="002953F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Cystic fibrosis</w:t>
      </w:r>
    </w:p>
    <w:p w:rsidR="00196C2E" w:rsidRPr="00236E3D" w:rsidRDefault="002953F9" w:rsidP="002953F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Waldenstrom</w:t>
      </w:r>
      <w:proofErr w:type="spellEnd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macroglobulinemia</w:t>
      </w:r>
      <w:proofErr w:type="spellEnd"/>
    </w:p>
    <w:p w:rsidR="002953F9" w:rsidRPr="00236E3D" w:rsidRDefault="002953F9" w:rsidP="002953F9">
      <w:pPr>
        <w:pStyle w:val="aa"/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953F9" w:rsidRPr="00236E3D" w:rsidRDefault="003511EE" w:rsidP="002953F9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9. </w:t>
      </w:r>
      <w:r w:rsidR="002953F9" w:rsidRPr="00236E3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The appearance of abnormal forms of proteins in blood is called</w:t>
      </w:r>
    </w:p>
    <w:p w:rsidR="002953F9" w:rsidRPr="00236E3D" w:rsidRDefault="002953F9" w:rsidP="002953F9">
      <w:pPr>
        <w:pStyle w:val="aa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Hyperuricemia</w:t>
      </w:r>
      <w:proofErr w:type="spellEnd"/>
    </w:p>
    <w:p w:rsidR="002953F9" w:rsidRPr="00236E3D" w:rsidRDefault="002953F9" w:rsidP="002953F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Dysproteinemia</w:t>
      </w:r>
      <w:proofErr w:type="spellEnd"/>
    </w:p>
    <w:p w:rsidR="002953F9" w:rsidRPr="00236E3D" w:rsidRDefault="002953F9" w:rsidP="002953F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Paraproteinemia</w:t>
      </w:r>
      <w:proofErr w:type="spellEnd"/>
    </w:p>
    <w:p w:rsidR="002953F9" w:rsidRPr="00236E3D" w:rsidRDefault="002953F9" w:rsidP="002953F9">
      <w:pPr>
        <w:pStyle w:val="aa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Hyperproteinemia</w:t>
      </w:r>
      <w:proofErr w:type="spellEnd"/>
    </w:p>
    <w:p w:rsidR="002953F9" w:rsidRPr="00236E3D" w:rsidRDefault="002953F9" w:rsidP="002953F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Hyperketonemia</w:t>
      </w:r>
      <w:proofErr w:type="spellEnd"/>
    </w:p>
    <w:p w:rsidR="003511EE" w:rsidRPr="00236E3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E303A" w:rsidRPr="00236E3D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10</w:t>
      </w:r>
      <w:r w:rsidR="00196C2E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584FC1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Determine which factors are the reasons and risk factors of goat? </w:t>
      </w:r>
    </w:p>
    <w:p w:rsidR="00AE303A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High-purine foods</w:t>
      </w:r>
    </w:p>
    <w:p w:rsidR="00AE303A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Disorder synthesis of urea </w:t>
      </w:r>
    </w:p>
    <w:p w:rsidR="00AE303A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Chronic kidney </w:t>
      </w:r>
      <w:r w:rsidR="00236E3D"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disease</w:t>
      </w:r>
    </w:p>
    <w:p w:rsidR="003511EE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Genetic predisposition</w:t>
      </w:r>
    </w:p>
    <w:p w:rsidR="003511EE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Overeating of carbohydrates </w:t>
      </w:r>
    </w:p>
    <w:p w:rsidR="003511EE" w:rsidRPr="00236E3D" w:rsidRDefault="00584FC1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6E3D">
        <w:rPr>
          <w:rFonts w:ascii="Times New Roman" w:eastAsia="Times New Roman" w:hAnsi="Times New Roman"/>
          <w:sz w:val="28"/>
          <w:szCs w:val="28"/>
          <w:lang w:val="en-US" w:eastAsia="ru-RU"/>
        </w:rPr>
        <w:t>Offered infectious diseases</w:t>
      </w:r>
    </w:p>
    <w:p w:rsidR="003511EE" w:rsidRPr="00EC536D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E303A" w:rsidRPr="004E680A" w:rsidRDefault="00584FC1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</w:pPr>
      <w:proofErr w:type="gramStart"/>
      <w:r w:rsidRPr="00EC536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Task</w:t>
      </w:r>
      <w:r w:rsidR="003511EE" w:rsidRPr="00EC536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 xml:space="preserve"> 2.</w:t>
      </w:r>
      <w:proofErr w:type="gramEnd"/>
      <w:r w:rsidR="003511EE" w:rsidRPr="00EC536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 xml:space="preserve"> </w:t>
      </w:r>
      <w:r w:rsidR="004E680A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S</w:t>
      </w:r>
      <w:r w:rsidR="004E680A" w:rsidRPr="004E680A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olve a cross-word puzzle</w:t>
      </w:r>
    </w:p>
    <w:p w:rsidR="0072209F" w:rsidRPr="00E16BD2" w:rsidRDefault="0072209F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72209F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Across:</w:t>
      </w:r>
    </w:p>
    <w:p w:rsidR="00694147" w:rsidRPr="00EC536D" w:rsidRDefault="000A4892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 – </w:t>
      </w:r>
      <w:r w:rsidR="001853FA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="00584FC1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toxic</w:t>
      </w:r>
      <w:r w:rsidR="001853FA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substance</w:t>
      </w:r>
      <w:r w:rsidR="00584FC1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the amino acids metabolism </w:t>
      </w:r>
    </w:p>
    <w:p w:rsidR="0072209F" w:rsidRPr="00E16BD2" w:rsidRDefault="0072209F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72209F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Down:</w:t>
      </w:r>
    </w:p>
    <w:p w:rsidR="004E680A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 – </w:t>
      </w:r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The specific term that describes status on nitrogen metabolism in human body is “nitrogen ……”</w:t>
      </w:r>
    </w:p>
    <w:p w:rsidR="00694147" w:rsidRPr="00EC536D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 – </w:t>
      </w:r>
      <w:r w:rsidR="001853FA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>The protein with function of transporting oxygen</w:t>
      </w:r>
    </w:p>
    <w:p w:rsidR="001853FA" w:rsidRPr="00EC536D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4 –</w:t>
      </w:r>
      <w:r w:rsidR="004E680A" w:rsidRPr="004E680A">
        <w:rPr>
          <w:lang w:val="en-US"/>
        </w:rPr>
        <w:t xml:space="preserve"> </w:t>
      </w:r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typical pathological process that is characterized by </w:t>
      </w:r>
      <w:proofErr w:type="spellStart"/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dysproteinemia</w:t>
      </w:r>
      <w:proofErr w:type="spellEnd"/>
    </w:p>
    <w:p w:rsidR="00EB0CC1" w:rsidRPr="00EC536D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5 – </w:t>
      </w:r>
      <w:r w:rsidR="00EB0CC1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</w:t>
      </w:r>
      <w:r w:rsidR="00EB0CC1" w:rsidRPr="00EC53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deposit</w:t>
      </w:r>
      <w:r w:rsidR="00F76BC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bookmarkStart w:id="0" w:name="_GoBack"/>
      <w:bookmarkEnd w:id="0"/>
      <w:r w:rsidR="00EB0CC1" w:rsidRPr="00EC53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of monosodium </w:t>
      </w:r>
      <w:proofErr w:type="spellStart"/>
      <w:r w:rsidR="00EB0CC1" w:rsidRPr="00EC53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urate</w:t>
      </w:r>
      <w:proofErr w:type="spellEnd"/>
      <w:r w:rsidR="00EB0CC1" w:rsidRPr="00EC53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crystals in tissues </w:t>
      </w:r>
    </w:p>
    <w:p w:rsidR="00694147" w:rsidRPr="00EC536D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6 – </w:t>
      </w:r>
      <w:r w:rsidR="004E680A">
        <w:rPr>
          <w:rFonts w:ascii="Times New Roman" w:eastAsia="Times New Roman" w:hAnsi="Times New Roman"/>
          <w:sz w:val="28"/>
          <w:szCs w:val="28"/>
          <w:lang w:val="en-US" w:eastAsia="ru-RU"/>
        </w:rPr>
        <w:t>The essential amino</w:t>
      </w:r>
      <w:r w:rsidR="00DE2FE7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acid </w:t>
      </w:r>
    </w:p>
    <w:p w:rsidR="00694147" w:rsidRPr="00EC536D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7 – </w:t>
      </w:r>
      <w:r w:rsidR="00EB0CC1"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="00EB0CC1" w:rsidRPr="00EC536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acute gouty inflammation of joint</w:t>
      </w:r>
    </w:p>
    <w:p w:rsidR="00AE303A" w:rsidRPr="00EC536D" w:rsidRDefault="00694147" w:rsidP="00185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53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8 – </w:t>
      </w:r>
      <w:r w:rsidR="004E680A"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The disturbance of intermediary metabolism of amino acids caused by pyridoxine deficiency</w:t>
      </w:r>
    </w:p>
    <w:p w:rsidR="00031F70" w:rsidRPr="00EC536D" w:rsidRDefault="00031F70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7"/>
        <w:gridCol w:w="667"/>
        <w:gridCol w:w="675"/>
        <w:gridCol w:w="664"/>
        <w:gridCol w:w="672"/>
        <w:gridCol w:w="703"/>
        <w:gridCol w:w="684"/>
        <w:gridCol w:w="665"/>
        <w:gridCol w:w="665"/>
        <w:gridCol w:w="675"/>
        <w:gridCol w:w="675"/>
        <w:gridCol w:w="613"/>
        <w:gridCol w:w="621"/>
        <w:gridCol w:w="621"/>
        <w:gridCol w:w="603"/>
      </w:tblGrid>
      <w:tr w:rsidR="00EB0CC1" w:rsidRPr="00EC536D" w:rsidTr="004E680A">
        <w:tc>
          <w:tcPr>
            <w:tcW w:w="534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1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185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EB0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630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7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630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536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 xml:space="preserve">8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58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EB0CC1" w:rsidRPr="00EC536D" w:rsidTr="00EB0CC1">
        <w:tc>
          <w:tcPr>
            <w:tcW w:w="651" w:type="dxa"/>
            <w:gridSpan w:val="2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EB0CC1" w:rsidRPr="00EC536D" w:rsidRDefault="00EB0CC1" w:rsidP="00CE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31F70" w:rsidRPr="00EC536D" w:rsidRDefault="00031F70" w:rsidP="00031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E303A" w:rsidRPr="00EC536D" w:rsidRDefault="00D10AB8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EC536D">
        <w:rPr>
          <w:rFonts w:ascii="Times New Roman" w:hAnsi="Times New Roman"/>
          <w:b/>
          <w:sz w:val="28"/>
          <w:szCs w:val="28"/>
          <w:lang w:val="en-US"/>
        </w:rPr>
        <w:t>Task</w:t>
      </w:r>
      <w:r w:rsidR="003511EE" w:rsidRPr="00EC536D">
        <w:rPr>
          <w:rFonts w:ascii="Times New Roman" w:hAnsi="Times New Roman"/>
          <w:b/>
          <w:sz w:val="28"/>
          <w:szCs w:val="28"/>
          <w:lang w:val="en-US"/>
        </w:rPr>
        <w:t xml:space="preserve"> 3.</w:t>
      </w:r>
      <w:proofErr w:type="gramEnd"/>
      <w:r w:rsidR="003511EE" w:rsidRPr="00EC536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C536D">
        <w:rPr>
          <w:rFonts w:ascii="Times New Roman" w:hAnsi="Times New Roman"/>
          <w:b/>
          <w:sz w:val="28"/>
          <w:szCs w:val="28"/>
          <w:lang w:val="en-US"/>
        </w:rPr>
        <w:t>Give answers to this task</w:t>
      </w:r>
    </w:p>
    <w:p w:rsidR="004E680A" w:rsidRPr="004E680A" w:rsidRDefault="004E680A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46-year-old patient complains of paroxysmal pain in the joints of the fingers and toes, fever. On examination: the joints of the foot are </w:t>
      </w:r>
      <w:proofErr w:type="gramStart"/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deformed,</w:t>
      </w:r>
      <w:proofErr w:type="gramEnd"/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small round solid nodules are present</w:t>
      </w:r>
      <w:r w:rsidR="00E16BD2">
        <w:rPr>
          <w:rFonts w:ascii="Times New Roman" w:eastAsia="Times New Roman" w:hAnsi="Times New Roman"/>
          <w:sz w:val="28"/>
          <w:szCs w:val="28"/>
          <w:lang w:val="en-US" w:eastAsia="ru-RU"/>
        </w:rPr>
        <w:t>ed</w:t>
      </w: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the ear cartilages. An increase in the concentration of uric acid in the blood was determined. By X-ray examination in epiphyses of bones near joins surfaces well-defined </w:t>
      </w:r>
      <w:proofErr w:type="spellStart"/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structureless</w:t>
      </w:r>
      <w:proofErr w:type="spellEnd"/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round foci were found.   </w:t>
      </w:r>
    </w:p>
    <w:p w:rsidR="004E680A" w:rsidRPr="004E680A" w:rsidRDefault="004E680A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 What disease developed in the patient? What clinical signs confirm your diagnosis? </w:t>
      </w:r>
    </w:p>
    <w:p w:rsidR="004E680A" w:rsidRPr="004E680A" w:rsidRDefault="004E680A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2. Name the disorder determined in the blood.</w:t>
      </w:r>
    </w:p>
    <w:p w:rsidR="004E680A" w:rsidRPr="004E680A" w:rsidRDefault="004E680A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3. How are the small round solid nodules in ears cartilages called?</w:t>
      </w:r>
    </w:p>
    <w:p w:rsidR="004E680A" w:rsidRPr="004E680A" w:rsidRDefault="004E680A" w:rsidP="004E6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E680A">
        <w:rPr>
          <w:rFonts w:ascii="Times New Roman" w:eastAsia="Times New Roman" w:hAnsi="Times New Roman"/>
          <w:sz w:val="28"/>
          <w:szCs w:val="28"/>
          <w:lang w:val="en-US" w:eastAsia="ru-RU"/>
        </w:rPr>
        <w:t>4. Describe etiology and pathogenesis of this disease.</w:t>
      </w:r>
    </w:p>
    <w:p w:rsidR="00493E06" w:rsidRPr="00BB37E1" w:rsidRDefault="00493E06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C2E" w:rsidRPr="00F76BC3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47D10" w:rsidRPr="00BB37E1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47D10" w:rsidRPr="00BB37E1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47D10" w:rsidRPr="004E680A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547D10" w:rsidRPr="004E680A" w:rsidSect="008A6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F5" w:rsidRDefault="004268F5" w:rsidP="00103455">
      <w:pPr>
        <w:spacing w:after="0" w:line="240" w:lineRule="auto"/>
      </w:pPr>
      <w:r>
        <w:separator/>
      </w:r>
    </w:p>
  </w:endnote>
  <w:endnote w:type="continuationSeparator" w:id="0">
    <w:p w:rsidR="004268F5" w:rsidRDefault="004268F5" w:rsidP="001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F5" w:rsidRDefault="004268F5" w:rsidP="00103455">
      <w:pPr>
        <w:spacing w:after="0" w:line="240" w:lineRule="auto"/>
      </w:pPr>
      <w:r>
        <w:separator/>
      </w:r>
    </w:p>
  </w:footnote>
  <w:footnote w:type="continuationSeparator" w:id="0">
    <w:p w:rsidR="004268F5" w:rsidRDefault="004268F5" w:rsidP="001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6B5"/>
    <w:multiLevelType w:val="hybridMultilevel"/>
    <w:tmpl w:val="F0F8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307"/>
    <w:multiLevelType w:val="hybridMultilevel"/>
    <w:tmpl w:val="F72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3A97"/>
    <w:multiLevelType w:val="hybridMultilevel"/>
    <w:tmpl w:val="DBAE644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7C789A"/>
    <w:multiLevelType w:val="hybridMultilevel"/>
    <w:tmpl w:val="08E4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7F0A"/>
    <w:multiLevelType w:val="hybridMultilevel"/>
    <w:tmpl w:val="D964645C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5366"/>
    <w:multiLevelType w:val="hybridMultilevel"/>
    <w:tmpl w:val="68C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E20"/>
    <w:multiLevelType w:val="hybridMultilevel"/>
    <w:tmpl w:val="DF10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35B0"/>
    <w:multiLevelType w:val="hybridMultilevel"/>
    <w:tmpl w:val="C130CD2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9F2460"/>
    <w:multiLevelType w:val="hybridMultilevel"/>
    <w:tmpl w:val="3C3057B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185548"/>
    <w:multiLevelType w:val="hybridMultilevel"/>
    <w:tmpl w:val="004A51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B444F4"/>
    <w:multiLevelType w:val="hybridMultilevel"/>
    <w:tmpl w:val="23E2F0C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F11817"/>
    <w:multiLevelType w:val="hybridMultilevel"/>
    <w:tmpl w:val="C972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274D"/>
    <w:multiLevelType w:val="hybridMultilevel"/>
    <w:tmpl w:val="D66EE64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A54B5E"/>
    <w:multiLevelType w:val="hybridMultilevel"/>
    <w:tmpl w:val="5398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7D27"/>
    <w:multiLevelType w:val="hybridMultilevel"/>
    <w:tmpl w:val="3F621E1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001AB2"/>
    <w:multiLevelType w:val="hybridMultilevel"/>
    <w:tmpl w:val="8E62E0A0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F704AF"/>
    <w:multiLevelType w:val="hybridMultilevel"/>
    <w:tmpl w:val="C140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82F9D"/>
    <w:multiLevelType w:val="hybridMultilevel"/>
    <w:tmpl w:val="2CEA6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B4D"/>
    <w:multiLevelType w:val="hybridMultilevel"/>
    <w:tmpl w:val="C612460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1A65FF"/>
    <w:multiLevelType w:val="hybridMultilevel"/>
    <w:tmpl w:val="887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D1E28"/>
    <w:multiLevelType w:val="hybridMultilevel"/>
    <w:tmpl w:val="1FB494FC"/>
    <w:lvl w:ilvl="0" w:tplc="FC46A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D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1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E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6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A7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0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3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45300"/>
    <w:multiLevelType w:val="hybridMultilevel"/>
    <w:tmpl w:val="D24677AE"/>
    <w:lvl w:ilvl="0" w:tplc="D550D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3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2C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8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D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3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4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9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25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30DF8"/>
    <w:multiLevelType w:val="hybridMultilevel"/>
    <w:tmpl w:val="31C0D90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D55A1E"/>
    <w:multiLevelType w:val="hybridMultilevel"/>
    <w:tmpl w:val="02E0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9"/>
  </w:num>
  <w:num w:numId="11">
    <w:abstractNumId w:val="23"/>
  </w:num>
  <w:num w:numId="12">
    <w:abstractNumId w:val="5"/>
  </w:num>
  <w:num w:numId="13">
    <w:abstractNumId w:val="15"/>
  </w:num>
  <w:num w:numId="14">
    <w:abstractNumId w:val="7"/>
  </w:num>
  <w:num w:numId="15">
    <w:abstractNumId w:val="8"/>
  </w:num>
  <w:num w:numId="16">
    <w:abstractNumId w:val="22"/>
  </w:num>
  <w:num w:numId="17">
    <w:abstractNumId w:val="2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 w:numId="22">
    <w:abstractNumId w:val="14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D"/>
    <w:rsid w:val="00031F70"/>
    <w:rsid w:val="00035927"/>
    <w:rsid w:val="0008375C"/>
    <w:rsid w:val="000A4892"/>
    <w:rsid w:val="00103455"/>
    <w:rsid w:val="001532CE"/>
    <w:rsid w:val="001853FA"/>
    <w:rsid w:val="00196C2E"/>
    <w:rsid w:val="001F631A"/>
    <w:rsid w:val="002003A5"/>
    <w:rsid w:val="002072A4"/>
    <w:rsid w:val="00236E3D"/>
    <w:rsid w:val="0028630B"/>
    <w:rsid w:val="002953F9"/>
    <w:rsid w:val="003012BC"/>
    <w:rsid w:val="00307C6D"/>
    <w:rsid w:val="003511EE"/>
    <w:rsid w:val="003D7470"/>
    <w:rsid w:val="004268F5"/>
    <w:rsid w:val="00430D4C"/>
    <w:rsid w:val="004617D4"/>
    <w:rsid w:val="00493E06"/>
    <w:rsid w:val="004E680A"/>
    <w:rsid w:val="00547D10"/>
    <w:rsid w:val="00574932"/>
    <w:rsid w:val="00584FC1"/>
    <w:rsid w:val="00644CA6"/>
    <w:rsid w:val="00694147"/>
    <w:rsid w:val="006E34BF"/>
    <w:rsid w:val="0072209F"/>
    <w:rsid w:val="008162ED"/>
    <w:rsid w:val="00860DC4"/>
    <w:rsid w:val="008A60BB"/>
    <w:rsid w:val="008D5D8E"/>
    <w:rsid w:val="0090204F"/>
    <w:rsid w:val="00925CF2"/>
    <w:rsid w:val="009F488A"/>
    <w:rsid w:val="009F778A"/>
    <w:rsid w:val="00A21813"/>
    <w:rsid w:val="00A249E4"/>
    <w:rsid w:val="00AD4583"/>
    <w:rsid w:val="00AE303A"/>
    <w:rsid w:val="00B66600"/>
    <w:rsid w:val="00BB37E1"/>
    <w:rsid w:val="00C127D8"/>
    <w:rsid w:val="00D10AB8"/>
    <w:rsid w:val="00D60D29"/>
    <w:rsid w:val="00DB1C23"/>
    <w:rsid w:val="00DD57F9"/>
    <w:rsid w:val="00DE2FE7"/>
    <w:rsid w:val="00DE3AF9"/>
    <w:rsid w:val="00E16BD2"/>
    <w:rsid w:val="00E20F40"/>
    <w:rsid w:val="00E4205D"/>
    <w:rsid w:val="00EA6168"/>
    <w:rsid w:val="00EB0CC1"/>
    <w:rsid w:val="00EC536D"/>
    <w:rsid w:val="00EF25C5"/>
    <w:rsid w:val="00F63D74"/>
    <w:rsid w:val="00F76BC3"/>
    <w:rsid w:val="00FB36A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05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5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6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6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6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4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2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6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9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6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560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6</cp:revision>
  <dcterms:created xsi:type="dcterms:W3CDTF">2020-04-12T10:41:00Z</dcterms:created>
  <dcterms:modified xsi:type="dcterms:W3CDTF">2020-04-15T15:41:00Z</dcterms:modified>
</cp:coreProperties>
</file>